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60" w:line="249" w:lineRule="auto"/>
        <w:rPr/>
      </w:pPr>
      <w:bookmarkStart w:colFirst="0" w:colLast="0" w:name="_pa2n1ahg35lu" w:id="0"/>
      <w:bookmarkEnd w:id="0"/>
      <w:r w:rsidDel="00000000" w:rsidR="00000000" w:rsidRPr="00000000">
        <w:rPr>
          <w:rtl w:val="0"/>
        </w:rPr>
        <w:t xml:space="preserve">Guide for writing a Draft Resolution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ofoel5vqpdw" w:id="1"/>
      <w:bookmarkEnd w:id="1"/>
      <w:r w:rsidDel="00000000" w:rsidR="00000000" w:rsidRPr="00000000">
        <w:rPr>
          <w:rtl w:val="0"/>
        </w:rPr>
        <w:t xml:space="preserve">PREAMBULATORY CLAUSES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opening of preambulatory clauses should be </w:t>
      </w:r>
      <w:r w:rsidDel="00000000" w:rsidR="00000000" w:rsidRPr="00000000">
        <w:rPr>
          <w:i w:val="1"/>
          <w:u w:val="single"/>
          <w:rtl w:val="0"/>
        </w:rPr>
        <w:t xml:space="preserve">italicised and underlined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 preambulatory clause opening should be repeated in its exact form.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Preambulatory clauses must end in comma (,) or semicolon (;).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All acronyms must be listed in full before appearing in abbreviated form.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There must be a line space between clauses.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xjfoo3yqjmzb" w:id="2"/>
      <w:bookmarkEnd w:id="2"/>
      <w:r w:rsidDel="00000000" w:rsidR="00000000" w:rsidRPr="00000000">
        <w:rPr>
          <w:rtl w:val="0"/>
        </w:rPr>
        <w:t xml:space="preserve">Examples: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i w:val="1"/>
          <w:u w:val="single"/>
          <w:rtl w:val="0"/>
        </w:rPr>
        <w:t xml:space="preserve">Recognising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the lack of regulation has led to cases of unlawful behaviour by PMCs in the past,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i w:val="1"/>
          <w:u w:val="single"/>
          <w:rtl w:val="0"/>
        </w:rPr>
        <w:t xml:space="preserve">Believing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that regulation within an international framework of PMCs is necessary, however, should not be heavily restrictive,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i w:val="1"/>
          <w:u w:val="single"/>
          <w:rtl w:val="0"/>
        </w:rPr>
        <w:t xml:space="preserve">Supporting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the safe and beneficial use of PMCs, following a policy of security without conflict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wg3ccyh9btkw" w:id="3"/>
      <w:bookmarkEnd w:id="3"/>
      <w:r w:rsidDel="00000000" w:rsidR="00000000" w:rsidRPr="00000000">
        <w:rPr>
          <w:rtl w:val="0"/>
        </w:rPr>
        <w:t xml:space="preserve">OPERATIVE CLAUSES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opening of operative clauses should be </w:t>
      </w:r>
      <w:r w:rsidDel="00000000" w:rsidR="00000000" w:rsidRPr="00000000">
        <w:rPr>
          <w:u w:val="single"/>
          <w:rtl w:val="0"/>
        </w:rPr>
        <w:t xml:space="preserve">underlined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 operative clause opening should be repeated in its exact form.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Operative clauses must end in comma (,) or semicolon (;). A colon (:) can be used when referencing sub-clauses or sub-sub-clauses.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Operative sub-clauses and sub-sub-clauses must end in comma (,), semicolon (;), or have no punctuation at all at the end. A colon (:) can be used when referencing sub-sub-clauses.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 period (.) only appears at the end of the last operative clause.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Operative numbers should align with the first letter of the preambulatory clause.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Following lines of operative clauses must align with the first word of the first line.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Sub-clauses should be marked with a lowercase letter followed by a period or bracket.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Sub-sub-clauses should be marked with a lowercase roman numeral followed by a period.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All acronyms must be listed in full before appearing in abbreviated form.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There must be a line space between clauses.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Last clause ends with a period (.).</w:t>
      </w:r>
    </w:p>
    <w:p w:rsidR="00000000" w:rsidDel="00000000" w:rsidP="00000000" w:rsidRDefault="00000000" w:rsidRPr="00000000" w14:paraId="00000019">
      <w:pPr>
        <w:spacing w:after="160" w:line="24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m2bfee2ni7tz" w:id="4"/>
      <w:bookmarkEnd w:id="4"/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u w:val="single"/>
          <w:rtl w:val="0"/>
        </w:rPr>
        <w:t xml:space="preserve">Calls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 an armistice and the total withdrawal of involved armed forces from Manchuria to a mutually recognised distance from frontlines that poses minimal threat,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Prepare a response coalition composed of states without overseas colonial territories critical to the region, to be used to ensure the armistice is preserved;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The member states of this response coalition is to be rotated every two and a half years;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180"/>
      </w:pPr>
      <w:r w:rsidDel="00000000" w:rsidR="00000000" w:rsidRPr="00000000">
        <w:rPr>
          <w:rtl w:val="0"/>
        </w:rPr>
        <w:t xml:space="preserve">Allows for the matter of membership to be brought to the League in the event of a rapid shift in government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This response coalition is only to be deployed with the unanimous consent of the Council of the League, and ONLY if the armistice in Manchuria is put under threat,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535981" cy="48720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5981" cy="487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49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5367338" cy="359362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7338" cy="3593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a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